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A3" w:rsidRDefault="00DA60A3">
      <w:pPr>
        <w:spacing w:after="0" w:line="240" w:lineRule="auto"/>
        <w:ind w:left="1136" w:right="490" w:firstLine="568"/>
        <w:jc w:val="center"/>
        <w:rPr>
          <w:rFonts w:ascii="Times New Roman" w:eastAsia="Times New Roman" w:hAnsi="Times New Roman" w:cs="Times New Roman"/>
          <w:color w:val="000000"/>
          <w:sz w:val="26"/>
        </w:rPr>
      </w:pPr>
    </w:p>
    <w:p w:rsidR="00DA60A3" w:rsidRDefault="008F3A0B">
      <w:pPr>
        <w:spacing w:after="0"/>
        <w:ind w:left="1136" w:right="490" w:firstLine="568"/>
        <w:jc w:val="center"/>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ЗВІТ НЕЗАЛЕЖНОГО АУДИТОРА</w:t>
      </w:r>
    </w:p>
    <w:p w:rsidR="00DA60A3" w:rsidRDefault="008F3A0B">
      <w:pPr>
        <w:spacing w:after="0"/>
        <w:ind w:left="1136" w:right="490" w:firstLine="568"/>
        <w:jc w:val="center"/>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щодо фінансової  звітності  ПУБЛІЧ</w:t>
      </w:r>
      <w:r>
        <w:rPr>
          <w:rFonts w:ascii="Times New Roman" w:eastAsia="Times New Roman" w:hAnsi="Times New Roman" w:cs="Times New Roman"/>
          <w:b/>
          <w:i/>
          <w:sz w:val="24"/>
        </w:rPr>
        <w:t>НОГО АКЦІОНЕРНОГО ТОВАРИСТВА</w:t>
      </w:r>
      <w:r>
        <w:rPr>
          <w:rFonts w:ascii="Times New Roman" w:eastAsia="Times New Roman" w:hAnsi="Times New Roman" w:cs="Times New Roman"/>
          <w:b/>
          <w:i/>
          <w:color w:val="000000"/>
          <w:sz w:val="24"/>
        </w:rPr>
        <w:t xml:space="preserve"> </w:t>
      </w:r>
    </w:p>
    <w:p w:rsidR="00DA60A3" w:rsidRDefault="008F3A0B">
      <w:pPr>
        <w:spacing w:after="0"/>
        <w:ind w:left="1136" w:right="490" w:firstLine="568"/>
        <w:jc w:val="center"/>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 „ОДЕСЬКИЙ АВТОСКЛАДАЛЬНИЙ ЗАВОД” за рік, що закінчився 31 грудня 2018р.</w:t>
      </w:r>
    </w:p>
    <w:p w:rsidR="00DA60A3" w:rsidRDefault="00DA60A3">
      <w:pPr>
        <w:spacing w:after="0"/>
        <w:ind w:left="1136" w:right="490" w:firstLine="568"/>
        <w:jc w:val="center"/>
        <w:rPr>
          <w:rFonts w:ascii="Times New Roman" w:eastAsia="Times New Roman" w:hAnsi="Times New Roman" w:cs="Times New Roman"/>
          <w:color w:val="000000"/>
          <w:sz w:val="24"/>
        </w:rPr>
      </w:pPr>
    </w:p>
    <w:p w:rsidR="00DA60A3" w:rsidRDefault="008F3A0B">
      <w:pPr>
        <w:spacing w:after="0"/>
        <w:ind w:left="1136" w:right="490" w:firstLine="568"/>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Адресат:</w:t>
      </w:r>
    </w:p>
    <w:p w:rsidR="00DA60A3" w:rsidRDefault="008F3A0B">
      <w:pPr>
        <w:spacing w:after="0"/>
        <w:ind w:left="1136" w:right="490" w:firstLine="568"/>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Звіт незалежного аудитора </w:t>
      </w:r>
      <w:r>
        <w:rPr>
          <w:rFonts w:ascii="Times New Roman" w:eastAsia="Times New Roman" w:hAnsi="Times New Roman" w:cs="Times New Roman"/>
          <w:i/>
          <w:color w:val="00335C"/>
          <w:sz w:val="24"/>
          <w:shd w:val="clear" w:color="auto" w:fill="FFFFFF"/>
        </w:rPr>
        <w:t> </w:t>
      </w:r>
      <w:r>
        <w:rPr>
          <w:rFonts w:ascii="Times New Roman" w:eastAsia="Times New Roman" w:hAnsi="Times New Roman" w:cs="Times New Roman"/>
          <w:i/>
          <w:color w:val="000000"/>
          <w:sz w:val="24"/>
        </w:rPr>
        <w:t>призначається управлінському персоналу, власникам цінних паперів ПАТ "ОДЕСЬКИЙ АВТОСКЛАДАЛЬНИЙ ЗАВОД" та користувачам фінансової звітності.</w:t>
      </w:r>
    </w:p>
    <w:p w:rsidR="00DA60A3" w:rsidRDefault="008F3A0B">
      <w:pPr>
        <w:spacing w:after="0"/>
        <w:ind w:left="1136" w:right="490" w:firstLine="568"/>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Думка </w:t>
      </w:r>
    </w:p>
    <w:p w:rsidR="00DA60A3" w:rsidRDefault="008F3A0B">
      <w:pPr>
        <w:spacing w:after="0"/>
        <w:ind w:left="1136" w:right="398" w:firstLine="85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Ми,</w:t>
      </w:r>
      <w:r>
        <w:rPr>
          <w:rFonts w:ascii="Times New Roman" w:eastAsia="Times New Roman" w:hAnsi="Times New Roman" w:cs="Times New Roman"/>
          <w:color w:val="00335C"/>
          <w:sz w:val="24"/>
          <w:shd w:val="clear" w:color="auto" w:fill="FFFFFF"/>
        </w:rPr>
        <w:t xml:space="preserve"> </w:t>
      </w:r>
      <w:r>
        <w:rPr>
          <w:rFonts w:ascii="Times New Roman" w:eastAsia="Times New Roman" w:hAnsi="Times New Roman" w:cs="Times New Roman"/>
          <w:color w:val="000000"/>
          <w:sz w:val="24"/>
        </w:rPr>
        <w:t xml:space="preserve">незалежна аудиторська фiрма ТОВ "Січень-Аудит" включене до Реєстру аудиторів та суб'єктів аудиторської діяльності, розділ суб'єкти аудиторської діяльності, які мають право проводити обов'язковий аудит фінансової звітності (номер реєстрації в реєстрі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3422) згiдно з договором </w:t>
      </w:r>
      <w:r>
        <w:rPr>
          <w:rFonts w:ascii="Segoe UI Symbol" w:eastAsia="Segoe UI Symbol" w:hAnsi="Segoe UI Symbol" w:cs="Segoe UI Symbol"/>
          <w:color w:val="000000"/>
          <w:sz w:val="24"/>
        </w:rPr>
        <w:t>№</w:t>
      </w:r>
      <w:r>
        <w:rPr>
          <w:rFonts w:ascii="Times New Roman" w:eastAsia="Times New Roman" w:hAnsi="Times New Roman" w:cs="Times New Roman"/>
          <w:sz w:val="24"/>
        </w:rPr>
        <w:t>191503</w:t>
      </w:r>
      <w:r>
        <w:rPr>
          <w:rFonts w:ascii="Times New Roman" w:eastAsia="Times New Roman" w:hAnsi="Times New Roman" w:cs="Times New Roman"/>
          <w:color w:val="000000"/>
          <w:sz w:val="24"/>
        </w:rPr>
        <w:t xml:space="preserve">  вiд </w:t>
      </w:r>
      <w:r>
        <w:rPr>
          <w:rFonts w:ascii="Times New Roman" w:eastAsia="Times New Roman" w:hAnsi="Times New Roman" w:cs="Times New Roman"/>
          <w:sz w:val="24"/>
        </w:rPr>
        <w:t>15</w:t>
      </w:r>
      <w:r>
        <w:rPr>
          <w:rFonts w:ascii="Times New Roman" w:eastAsia="Times New Roman" w:hAnsi="Times New Roman" w:cs="Times New Roman"/>
          <w:color w:val="000000"/>
          <w:sz w:val="24"/>
        </w:rPr>
        <w:t>.</w:t>
      </w:r>
      <w:r>
        <w:rPr>
          <w:rFonts w:ascii="Times New Roman" w:eastAsia="Times New Roman" w:hAnsi="Times New Roman" w:cs="Times New Roman"/>
          <w:sz w:val="24"/>
        </w:rPr>
        <w:t>03</w:t>
      </w:r>
      <w:r>
        <w:rPr>
          <w:rFonts w:ascii="Times New Roman" w:eastAsia="Times New Roman" w:hAnsi="Times New Roman" w:cs="Times New Roman"/>
          <w:color w:val="000000"/>
          <w:sz w:val="24"/>
        </w:rPr>
        <w:t>.201</w:t>
      </w:r>
      <w:r>
        <w:rPr>
          <w:rFonts w:ascii="Times New Roman" w:eastAsia="Times New Roman" w:hAnsi="Times New Roman" w:cs="Times New Roman"/>
          <w:sz w:val="24"/>
        </w:rPr>
        <w:t>9</w:t>
      </w:r>
      <w:r>
        <w:rPr>
          <w:rFonts w:ascii="Times New Roman" w:eastAsia="Times New Roman" w:hAnsi="Times New Roman" w:cs="Times New Roman"/>
          <w:color w:val="000000"/>
          <w:sz w:val="24"/>
        </w:rPr>
        <w:t>р.,  провели аудит фінансової звітності ПУБЛІЧ</w:t>
      </w:r>
      <w:r>
        <w:rPr>
          <w:rFonts w:ascii="Times New Roman" w:eastAsia="Times New Roman" w:hAnsi="Times New Roman" w:cs="Times New Roman"/>
          <w:sz w:val="24"/>
        </w:rPr>
        <w:t>НОГО АКЦІОНЕРНОГО ТОВАРИСТВА</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"ОДЕСЬКИЙ АВТОСКЛАДАЛЬНИЙ ЗАВОД"  код ЄДРПОУ </w:t>
      </w:r>
      <w:r>
        <w:rPr>
          <w:rFonts w:ascii="Times New Roman" w:eastAsia="Times New Roman" w:hAnsi="Times New Roman" w:cs="Times New Roman"/>
          <w:sz w:val="24"/>
        </w:rPr>
        <w:t>00231604</w:t>
      </w:r>
      <w:r>
        <w:rPr>
          <w:rFonts w:ascii="Times New Roman" w:eastAsia="Times New Roman" w:hAnsi="Times New Roman" w:cs="Times New Roman"/>
          <w:color w:val="000000"/>
          <w:sz w:val="24"/>
        </w:rPr>
        <w:t xml:space="preserve"> (далі – </w:t>
      </w:r>
      <w:r>
        <w:rPr>
          <w:rFonts w:ascii="Times New Roman" w:eastAsia="Times New Roman" w:hAnsi="Times New Roman" w:cs="Times New Roman"/>
          <w:sz w:val="24"/>
        </w:rPr>
        <w:t>Товариства</w:t>
      </w:r>
      <w:r>
        <w:rPr>
          <w:rFonts w:ascii="Times New Roman" w:eastAsia="Times New Roman" w:hAnsi="Times New Roman" w:cs="Times New Roman"/>
          <w:color w:val="000000"/>
          <w:sz w:val="24"/>
        </w:rPr>
        <w:t xml:space="preserve">), яка містить баланс станом на 31.12.2018р.         (форму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1), звіт про фінансові результати (форму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2) за рік, що закінчився на зазначену дату. </w:t>
      </w:r>
    </w:p>
    <w:p w:rsidR="00DA60A3" w:rsidRDefault="008F3A0B">
      <w:pPr>
        <w:spacing w:after="0"/>
        <w:ind w:left="1136" w:right="490" w:firstLine="5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На нашу думку, фінансова звітність, що додається, відображає достовірно в усіх суттєвих аспектах  фінансовий стан компанії на 31 грудня 2018 р., її фінансові результати і грошові потоки за рік, що закінчився зазначеною датою, відповідно до </w:t>
      </w:r>
      <w:r>
        <w:rPr>
          <w:rFonts w:ascii="Times New Roman" w:eastAsia="Times New Roman" w:hAnsi="Times New Roman" w:cs="Times New Roman"/>
          <w:sz w:val="24"/>
        </w:rPr>
        <w:t>Положень (стандартів) бухгалтерського обліку.</w:t>
      </w:r>
    </w:p>
    <w:p w:rsidR="00DA60A3" w:rsidRDefault="008F3A0B">
      <w:pPr>
        <w:spacing w:after="0"/>
        <w:ind w:left="1136" w:right="490" w:firstLine="568"/>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Основа для думки</w:t>
      </w:r>
    </w:p>
    <w:p w:rsidR="00DA60A3" w:rsidRDefault="008F3A0B">
      <w:pPr>
        <w:spacing w:after="0"/>
        <w:ind w:left="1136" w:right="490" w:firstLine="5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компанії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w:t>
      </w:r>
    </w:p>
    <w:p w:rsidR="00DA60A3" w:rsidRDefault="008F3A0B">
      <w:pPr>
        <w:spacing w:after="0"/>
        <w:ind w:left="1136" w:right="490" w:firstLine="568"/>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Ключові питання аудиту</w:t>
      </w:r>
    </w:p>
    <w:p w:rsidR="00DA60A3" w:rsidRDefault="008F3A0B">
      <w:pPr>
        <w:spacing w:after="0"/>
        <w:ind w:left="1136" w:right="490" w:firstLine="5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Ключові питання аудиту – це питання, які, на наше професійне судження, були найбільш значущими під час нашого аудиту фінансової звітності за поточний період. Ці питання 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 Ми визначили, що за виключенням питання, викладеного в роздiлi "Суттєва невизначеність, що стосується безперервності діяльності" вiдсутнi iншi ключовi питання аудиту, про якi необхiдно повiдомити в нашому звiтi.</w:t>
      </w:r>
    </w:p>
    <w:p w:rsidR="00DA60A3" w:rsidRDefault="008F3A0B">
      <w:pPr>
        <w:spacing w:after="0"/>
        <w:ind w:left="1136" w:right="490" w:firstLine="568"/>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Iнформацiя, що не є фiнансовою звiтнiстю та звiтом аудитора щодо неї</w:t>
      </w:r>
    </w:p>
    <w:p w:rsidR="00DA60A3" w:rsidRDefault="008F3A0B">
      <w:pPr>
        <w:spacing w:after="0"/>
        <w:ind w:left="1136" w:right="490" w:firstLine="5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Управлiнський персонал несе вiдповiдальнiсть за iншу iнформацiю. Iнша iнформацiя складається з iнформацiї, яка мiститься в Рiчнiй iнформацiї про емiтента за 2018 рiк ("Рiчний звiт </w:t>
      </w:r>
      <w:r>
        <w:rPr>
          <w:rFonts w:ascii="Times New Roman" w:eastAsia="Times New Roman" w:hAnsi="Times New Roman" w:cs="Times New Roman"/>
          <w:sz w:val="24"/>
        </w:rPr>
        <w:t>Товариства</w:t>
      </w:r>
      <w:r>
        <w:rPr>
          <w:rFonts w:ascii="Times New Roman" w:eastAsia="Times New Roman" w:hAnsi="Times New Roman" w:cs="Times New Roman"/>
          <w:color w:val="000000"/>
          <w:sz w:val="24"/>
        </w:rPr>
        <w:t>"), але не мiстить фiнансової звiтностi та нашого звiту аудитора щодо неї.</w:t>
      </w:r>
    </w:p>
    <w:p w:rsidR="00DA60A3" w:rsidRDefault="008F3A0B">
      <w:pPr>
        <w:spacing w:after="0"/>
        <w:ind w:left="1136" w:right="490" w:firstLine="5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w:t>
      </w:r>
    </w:p>
    <w:p w:rsidR="00DA60A3" w:rsidRDefault="008F3A0B">
      <w:pPr>
        <w:spacing w:after="0"/>
        <w:ind w:left="1136" w:right="490" w:firstLine="5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потрібно було б включити до звіту.</w:t>
      </w:r>
    </w:p>
    <w:p w:rsidR="00DA60A3" w:rsidRDefault="008F3A0B">
      <w:pPr>
        <w:spacing w:after="0"/>
        <w:ind w:left="1136" w:right="490" w:firstLine="56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Відповідальність управлінського персоналу та тих, кого наділено найвищими повноваженнями, за фінансову звітність</w:t>
      </w:r>
    </w:p>
    <w:p w:rsidR="00DA60A3" w:rsidRDefault="008F3A0B">
      <w:pPr>
        <w:spacing w:after="0"/>
        <w:ind w:left="1136" w:right="490" w:firstLine="5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Управлiнський персонал несе вiдповiдальнiсть за складання фiнансової звiтностi вiдповiдно до </w:t>
      </w:r>
      <w:r>
        <w:rPr>
          <w:rFonts w:ascii="Times New Roman" w:eastAsia="Times New Roman" w:hAnsi="Times New Roman" w:cs="Times New Roman"/>
          <w:sz w:val="24"/>
        </w:rPr>
        <w:t>Положень (стандартів) бухгалтерського обліку</w:t>
      </w:r>
      <w:r>
        <w:rPr>
          <w:rFonts w:ascii="Times New Roman" w:eastAsia="Times New Roman" w:hAnsi="Times New Roman" w:cs="Times New Roman"/>
          <w:color w:val="000000"/>
          <w:sz w:val="24"/>
        </w:rPr>
        <w:t xml:space="preserve"> та за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    При складаннi фiнансової звiтностi управлiнський персонал несе вiдповiдальнiсть за оцiнку здатностi компанiї продовжувати свою дiяльнiсть на безперервнiй основi, розкриваючи, де це застосовно, питання, що стосуються безперервностi дiяльностi, та використовуючи припущення про безперервнiсть дiяльностi як основи для бухгалтерського облiку, крiм випадкiв, якщо управлiнський персонал або планує лiквiдувати компанiю чи припинити дiяльнiсть, або не має iнших реальних альтернатив цьому. Тi, кого надiлено найвищими повноваженнями, несуть вiдповiдальнiсть за нагляд за процесом фiнансового звiтування компанiї.</w:t>
      </w:r>
    </w:p>
    <w:p w:rsidR="00DA60A3" w:rsidRDefault="008F3A0B">
      <w:pPr>
        <w:spacing w:after="0"/>
        <w:ind w:left="1136" w:right="490" w:firstLine="56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Відповідальність аудитора за аудит фінансової звітності</w:t>
      </w:r>
    </w:p>
    <w:p w:rsidR="00DA60A3" w:rsidRDefault="008F3A0B">
      <w:pPr>
        <w:spacing w:after="0"/>
        <w:ind w:left="1136" w:right="490" w:firstLine="5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w:t>
      </w:r>
    </w:p>
    <w:p w:rsidR="00DA60A3" w:rsidRDefault="008F3A0B">
      <w:pPr>
        <w:spacing w:after="0"/>
        <w:ind w:left="1136" w:right="490" w:firstLine="5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Виконуючи аудит вiдповiдно до МСА, ми використовуємо професiйне судження та професiйний скептицизм протягом усього завдання з аудиту. Крiм того, ми: </w:t>
      </w:r>
    </w:p>
    <w:p w:rsidR="00DA60A3" w:rsidRDefault="008F3A0B">
      <w:pPr>
        <w:spacing w:after="0"/>
        <w:ind w:left="1136" w:right="490" w:firstLine="5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iдентифiкуємо та оцiнюємо ризики суттєвого викривлення фiнансової звiтностi внаслiдок шахрайства чи помилки, розробляємо й виконуємо аудиторськi процедури у вiдповiдь на цi ризики, а також отримуємо аудиторськi докази, що є достатнiми та прийнятними для використання їх як основи для нашої думки. Ризик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неправильнi твердження або нехтування заходами внутрiшнього контролю; </w:t>
      </w:r>
    </w:p>
    <w:p w:rsidR="00DA60A3" w:rsidRDefault="008F3A0B">
      <w:pPr>
        <w:spacing w:after="0"/>
        <w:ind w:left="1136" w:right="490" w:firstLine="5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отримуємо розумiння заходiв внутрiшнього контролю, що стосуються аудиту, для розробки аудиторських процедур, якi б вiдповiдали обставинам, а не для висловлення думки щодо ефективностi системи внутрiшнього контролю;</w:t>
      </w:r>
    </w:p>
    <w:p w:rsidR="00DA60A3" w:rsidRDefault="008F3A0B">
      <w:pPr>
        <w:spacing w:after="0"/>
        <w:ind w:left="1136" w:right="490" w:firstLine="5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оцiнюємо прийнятнiсть застосованих облiкових полiтик та обгрунтованiсть облiкових оцiнок i вiдповiдних розкриттiв iнформацiї, зроблених управлiнським персоналом;</w:t>
      </w:r>
    </w:p>
    <w:p w:rsidR="00DA60A3" w:rsidRDefault="008F3A0B">
      <w:pPr>
        <w:spacing w:after="0"/>
        <w:ind w:left="1136" w:right="490" w:firstLine="5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доходимо висновку щодо прийнятностi використання управлiнським персоналом припущення про безперервнiсть діяльності,  як основи для бухгалтерського облiку та, на </w:t>
      </w:r>
      <w:r>
        <w:rPr>
          <w:rFonts w:ascii="Times New Roman" w:eastAsia="Times New Roman" w:hAnsi="Times New Roman" w:cs="Times New Roman"/>
          <w:color w:val="000000"/>
          <w:sz w:val="24"/>
        </w:rPr>
        <w:lastRenderedPageBreak/>
        <w:t xml:space="preserve">основi отриманих аудиторських доказiв,  робимо висновок, чи iснує суттєва невизначенiсть щодо подiй або умов, якi поставили б пiд значний сумнiв можливiсть </w:t>
      </w:r>
      <w:r>
        <w:rPr>
          <w:rFonts w:ascii="Times New Roman" w:eastAsia="Times New Roman" w:hAnsi="Times New Roman" w:cs="Times New Roman"/>
          <w:sz w:val="24"/>
        </w:rPr>
        <w:t>Товариства</w:t>
      </w:r>
      <w:r>
        <w:rPr>
          <w:rFonts w:ascii="Times New Roman" w:eastAsia="Times New Roman" w:hAnsi="Times New Roman" w:cs="Times New Roman"/>
          <w:color w:val="000000"/>
          <w:sz w:val="24"/>
        </w:rPr>
        <w:t xml:space="preserve"> продовжити безперервну дiяльнiсть. Нашi висновки грунтуються на аудиторських доказах, отриманих до дати нашого звiту аудитора. Втiм майбутнi подiї або умови можуть примусити компанiю припинити свою дiяльнiсть на безперервнiй основi.</w:t>
      </w:r>
    </w:p>
    <w:p w:rsidR="00DA60A3" w:rsidRDefault="008F3A0B">
      <w:pPr>
        <w:spacing w:after="0"/>
        <w:ind w:left="1136" w:right="490" w:firstLine="5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Ми повiдомляємо тим, кого надiлено найвищими повноваженнями, iнформацiю про запланований обсяг i час проведення аудиту та суттєвi аудиторськi результати, включаючи будь-якi суттєвi недолiки заходiв внутрiшнього контролю, виявленi нами пiд час аудиту.</w:t>
      </w:r>
    </w:p>
    <w:p w:rsidR="00DA60A3" w:rsidRDefault="008F3A0B">
      <w:pPr>
        <w:spacing w:after="0"/>
        <w:ind w:left="1136" w:right="490" w:firstLine="5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Ми також надаємо тим, кого надiлено найвищими повноваженнями, твердження, що ми виконали вiдповiднi етичнi вимоги щодо незалежностi, та повiдомляємо їм про всi стосунки й iншi питання, якi могли б обгрунтовано вважатись такими, що впливають на нашу незалежнiсть, а також, де це застосовно, щодо вiдповiдних застережних заходiв.</w:t>
      </w:r>
    </w:p>
    <w:p w:rsidR="00DA60A3" w:rsidRDefault="008F3A0B">
      <w:pPr>
        <w:spacing w:after="0"/>
        <w:ind w:left="1136" w:right="490" w:firstLine="56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Звіт щодо вимог інших законодавчих і нормативних актів</w:t>
      </w:r>
    </w:p>
    <w:p w:rsidR="00DA60A3" w:rsidRDefault="008F3A0B">
      <w:pPr>
        <w:spacing w:after="0"/>
        <w:ind w:left="1136" w:right="490" w:firstLine="5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Розрахунок вартостi чистих активiв товариства здiйснюється згiдно Методичних рекомендацiй Державної комiсiї з цiнних паперiв та фондового ринку щодо визначення вартостi чистих активiв вiд 17.11.2004 р. </w:t>
      </w:r>
      <w:r>
        <w:rPr>
          <w:rFonts w:ascii="Segoe UI Symbol" w:eastAsia="Segoe UI Symbol" w:hAnsi="Segoe UI Symbol" w:cs="Segoe UI Symbol"/>
          <w:color w:val="000000"/>
          <w:sz w:val="24"/>
        </w:rPr>
        <w:t xml:space="preserve">№ 485. </w:t>
      </w:r>
      <w:r>
        <w:rPr>
          <w:rFonts w:ascii="Times New Roman" w:eastAsia="Times New Roman" w:hAnsi="Times New Roman" w:cs="Times New Roman"/>
          <w:color w:val="000000"/>
          <w:sz w:val="24"/>
        </w:rPr>
        <w:t>Пiд вартiстю чистих активiв акцiонерного товариства розумiється величина, яка визначається шляхом вирахування iз суми активiв, прийнятих до розрахунку, суми його зобов’язань, прийнятих до розрахунку. Розрахункова вартiсть чистих активiв на кiнець звiтного перiоду становить 7879,5 тис.грн. Заявлений статутний капiтал становить 2169,7 тис.грн. Неоплаченого капiталу на кiнець звiтного перiоду не має. Отже, на 31.12.2018 р. вартість чистих активів перевищує статутний капітал на 5709,8 тис. грн, що не суперечить вимогам пункту 3 статті 155 Цивільного Кодексу України.</w:t>
      </w:r>
    </w:p>
    <w:p w:rsidR="00DA60A3" w:rsidRDefault="008F3A0B">
      <w:pPr>
        <w:spacing w:after="0"/>
        <w:ind w:left="1136" w:right="490" w:firstLine="5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вимогу частини третьої статті 40¹ "Звіт керівництва" Закону України "Про цінні папери та фондовий ринок" нами розглянуто питання стану корпоративного управління ПУБЛІЧНОГО АКЦІОНЕРНОГО ТОВАРИСТВА "ОДЕСЬКИЙ АВТОСКЛАДАЛЬНИЙ ЗАВОД", питання достовірності річного звіту керівництва </w:t>
      </w:r>
    </w:p>
    <w:p w:rsidR="00DA60A3" w:rsidRDefault="008F3A0B">
      <w:pPr>
        <w:spacing w:after="0"/>
        <w:ind w:left="1136" w:right="490" w:firstLine="5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Результати виконання процедур з метою висловлення думки щодо стану корпоративного управління і річного звіту дають підстави сформулювати судження про відповідність системи корпоративного управління в Товаристві вимогам Закону України "Про акціонерні товариства" та Статуту. В ході виконання аудиту нами не виявлені випадки нерозкриття або підозри недотримання вимог законодавчих та нормативних актів, щодо розкриття у Звіті про корпоративне управління інформації щодо внутрішнього контролю, переліку осіб, які прямо або опосередковано є власниками значного пакета акцій емітента, інформації про будь-які обмеження прав участі та голосування акціонерів (учасників) на загальних зборах емітента, порядку призначення та звільнення посадових осіб емітента а також повноваження посадових осіб емітента. Органи управління товариства керуються Принципами корпоративного управління, затвердженими загальними зборами акціонерів, які розроблені на основі положень Законів України "Про цінні папери та фондовий ринок", "Про акціонерні товариства" та Статуту Товариства. Протягом 2018 року дій, визначених у частині І статті 41 Закону України "Про цінні папери та фондовий ринок", які можуть вплинути на фінансово-господарський стан емітента та призвести до значної зміни вартості його цінних паперів, не відбувалося. Відповідну інформацію розміщено в загальнодоступній інформаційній базі даних Національної комісії з цінних паперів та фондового ринку.</w:t>
      </w:r>
    </w:p>
    <w:p w:rsidR="00DA60A3" w:rsidRDefault="008F3A0B">
      <w:pPr>
        <w:spacing w:after="0"/>
        <w:ind w:left="1136" w:right="490" w:firstLine="5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t>Щорічні загальні збори акціонерів на протязі 2018 року проводились  за нормами статті 32 Закону України „Про акціонерні товариства”, а саме не пізніше 30 квітня року наступного за звітним.  Фактична періодичність засідань наглядової ради товариства відповідає термінам,  визначеним Законом України „Про акціонерні товариства” та вимогам Статуту товариства. Протягом звітного року поточне управління фінансово-господарською діяльністю здійснював Директор, в межах повноважень, які встановлено Статутом та відповідним Положенням. Контроль за фінансово-господарською діяльністю акціонерного товариства протягом звітного року здійснювався Ревізійною комісією. За звiтний перiод розкриття особливої iнформацiї Товариством здiйснювалося в термiн та порядку, передбаченому вимогами чинного законодавства. Акцiонери вчасно i в повному обсязi отримують вiд Товариства iнформацiю з усiх суттєвих питань, що стосуються дiяльностi Товариства в цiлому. Суттєвих невідповідностей між фінансовою звітністю, що підлягала аудиту, та іншою інформацією, що розкривається Товариством та подається до НКЦПФР разом з фінансовою звітністю, не виявлено.</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DA60A3" w:rsidRDefault="008F3A0B">
      <w:pPr>
        <w:spacing w:after="0" w:line="240" w:lineRule="auto"/>
        <w:ind w:left="1136" w:right="824" w:firstLine="852"/>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Основні відомості про аудиторську фірму:</w:t>
      </w:r>
    </w:p>
    <w:p w:rsidR="00DA60A3" w:rsidRDefault="00DA60A3">
      <w:pPr>
        <w:spacing w:after="0" w:line="240" w:lineRule="auto"/>
        <w:ind w:left="1136" w:right="824" w:firstLine="852"/>
        <w:rPr>
          <w:rFonts w:ascii="Times New Roman" w:eastAsia="Times New Roman" w:hAnsi="Times New Roman" w:cs="Times New Roman"/>
          <w:color w:val="000000"/>
          <w:sz w:val="28"/>
        </w:rPr>
      </w:pPr>
    </w:p>
    <w:tbl>
      <w:tblPr>
        <w:tblW w:w="0" w:type="auto"/>
        <w:tblInd w:w="1988" w:type="dxa"/>
        <w:tblCellMar>
          <w:left w:w="10" w:type="dxa"/>
          <w:right w:w="10" w:type="dxa"/>
        </w:tblCellMar>
        <w:tblLook w:val="04A0"/>
      </w:tblPr>
      <w:tblGrid>
        <w:gridCol w:w="3825"/>
        <w:gridCol w:w="5369"/>
      </w:tblGrid>
      <w:tr w:rsidR="00DA60A3">
        <w:trPr>
          <w:trHeight w:val="1"/>
        </w:trPr>
        <w:tc>
          <w:tcPr>
            <w:tcW w:w="3825" w:type="dxa"/>
            <w:tcBorders>
              <w:top w:val="single" w:sz="4" w:space="0" w:color="000000"/>
              <w:left w:val="single" w:sz="4" w:space="0" w:color="000000"/>
              <w:bottom w:val="single" w:sz="6" w:space="0" w:color="000000"/>
              <w:right w:val="single" w:sz="6" w:space="0" w:color="000000"/>
            </w:tcBorders>
            <w:shd w:val="clear" w:color="000000" w:fill="auto"/>
            <w:tcMar>
              <w:left w:w="108" w:type="dxa"/>
              <w:right w:w="108" w:type="dxa"/>
            </w:tcMar>
          </w:tcPr>
          <w:p w:rsidR="00DA60A3" w:rsidRDefault="008F3A0B">
            <w:pPr>
              <w:spacing w:after="0" w:line="240" w:lineRule="auto"/>
            </w:pPr>
            <w:r>
              <w:rPr>
                <w:rFonts w:ascii="Times New Roman" w:eastAsia="Times New Roman" w:hAnsi="Times New Roman" w:cs="Times New Roman"/>
                <w:color w:val="000000"/>
                <w:sz w:val="28"/>
              </w:rPr>
              <w:t xml:space="preserve">Повне найменування </w:t>
            </w:r>
          </w:p>
        </w:tc>
        <w:tc>
          <w:tcPr>
            <w:tcW w:w="5369" w:type="dxa"/>
            <w:tcBorders>
              <w:top w:val="single" w:sz="4" w:space="0" w:color="000000"/>
              <w:left w:val="single" w:sz="6" w:space="0" w:color="000000"/>
              <w:bottom w:val="single" w:sz="6" w:space="0" w:color="000000"/>
              <w:right w:val="single" w:sz="4" w:space="0" w:color="000000"/>
            </w:tcBorders>
            <w:shd w:val="clear" w:color="000000" w:fill="auto"/>
            <w:tcMar>
              <w:left w:w="108" w:type="dxa"/>
              <w:right w:w="108" w:type="dxa"/>
            </w:tcMar>
          </w:tcPr>
          <w:p w:rsidR="00DA60A3" w:rsidRDefault="008F3A0B">
            <w:pPr>
              <w:spacing w:after="0" w:line="240" w:lineRule="auto"/>
            </w:pPr>
            <w:r>
              <w:rPr>
                <w:rFonts w:ascii="Times New Roman" w:eastAsia="Times New Roman" w:hAnsi="Times New Roman" w:cs="Times New Roman"/>
                <w:color w:val="000000"/>
                <w:sz w:val="28"/>
              </w:rPr>
              <w:t>Товариство з обмеженою відповідальністю "Січень-Аудит"</w:t>
            </w:r>
          </w:p>
        </w:tc>
      </w:tr>
      <w:tr w:rsidR="00DA60A3">
        <w:trPr>
          <w:trHeight w:val="315"/>
        </w:trPr>
        <w:tc>
          <w:tcPr>
            <w:tcW w:w="3825" w:type="dxa"/>
            <w:tcBorders>
              <w:top w:val="single" w:sz="6" w:space="0" w:color="000000"/>
              <w:left w:val="single" w:sz="4" w:space="0" w:color="000000"/>
              <w:bottom w:val="single" w:sz="6" w:space="0" w:color="000000"/>
              <w:right w:val="single" w:sz="6" w:space="0" w:color="000000"/>
            </w:tcBorders>
            <w:shd w:val="clear" w:color="000000" w:fill="auto"/>
            <w:tcMar>
              <w:left w:w="108" w:type="dxa"/>
              <w:right w:w="108" w:type="dxa"/>
            </w:tcMar>
          </w:tcPr>
          <w:p w:rsidR="00DA60A3" w:rsidRDefault="008F3A0B">
            <w:pPr>
              <w:spacing w:after="0" w:line="240" w:lineRule="auto"/>
            </w:pPr>
            <w:r>
              <w:rPr>
                <w:rFonts w:ascii="Times New Roman" w:eastAsia="Times New Roman" w:hAnsi="Times New Roman" w:cs="Times New Roman"/>
                <w:color w:val="000000"/>
                <w:sz w:val="28"/>
              </w:rPr>
              <w:t>Код ЄДРПОУ</w:t>
            </w:r>
          </w:p>
        </w:tc>
        <w:tc>
          <w:tcPr>
            <w:tcW w:w="5369" w:type="dxa"/>
            <w:tcBorders>
              <w:top w:val="single" w:sz="6" w:space="0" w:color="000000"/>
              <w:left w:val="single" w:sz="6" w:space="0" w:color="000000"/>
              <w:bottom w:val="single" w:sz="6" w:space="0" w:color="000000"/>
              <w:right w:val="single" w:sz="4" w:space="0" w:color="000000"/>
            </w:tcBorders>
            <w:shd w:val="clear" w:color="000000" w:fill="auto"/>
            <w:tcMar>
              <w:left w:w="108" w:type="dxa"/>
              <w:right w:w="108" w:type="dxa"/>
            </w:tcMar>
          </w:tcPr>
          <w:p w:rsidR="00DA60A3" w:rsidRDefault="008F3A0B">
            <w:pPr>
              <w:spacing w:after="0" w:line="240" w:lineRule="auto"/>
            </w:pPr>
            <w:r>
              <w:rPr>
                <w:rFonts w:ascii="Times New Roman" w:eastAsia="Times New Roman" w:hAnsi="Times New Roman" w:cs="Times New Roman"/>
                <w:color w:val="000000"/>
                <w:sz w:val="28"/>
              </w:rPr>
              <w:t>32996030</w:t>
            </w:r>
          </w:p>
        </w:tc>
      </w:tr>
      <w:tr w:rsidR="00DA60A3">
        <w:trPr>
          <w:trHeight w:val="1"/>
        </w:trPr>
        <w:tc>
          <w:tcPr>
            <w:tcW w:w="3825" w:type="dxa"/>
            <w:tcBorders>
              <w:top w:val="single" w:sz="6" w:space="0" w:color="000000"/>
              <w:left w:val="single" w:sz="4" w:space="0" w:color="000000"/>
              <w:bottom w:val="single" w:sz="6" w:space="0" w:color="000000"/>
              <w:right w:val="single" w:sz="6" w:space="0" w:color="000000"/>
            </w:tcBorders>
            <w:shd w:val="clear" w:color="000000" w:fill="auto"/>
            <w:tcMar>
              <w:left w:w="108" w:type="dxa"/>
              <w:right w:w="108" w:type="dxa"/>
            </w:tcMar>
          </w:tcPr>
          <w:p w:rsidR="00DA60A3" w:rsidRDefault="008F3A0B">
            <w:pPr>
              <w:spacing w:after="0" w:line="240" w:lineRule="auto"/>
            </w:pPr>
            <w:r>
              <w:rPr>
                <w:rFonts w:ascii="Times New Roman" w:eastAsia="Times New Roman" w:hAnsi="Times New Roman" w:cs="Times New Roman"/>
                <w:color w:val="000000"/>
                <w:sz w:val="28"/>
              </w:rPr>
              <w:t>Номер про включення до Реєстру аудиторських фірм та аудиторів</w:t>
            </w:r>
          </w:p>
        </w:tc>
        <w:tc>
          <w:tcPr>
            <w:tcW w:w="5369" w:type="dxa"/>
            <w:tcBorders>
              <w:top w:val="single" w:sz="6" w:space="0" w:color="000000"/>
              <w:left w:val="single" w:sz="6" w:space="0" w:color="000000"/>
              <w:bottom w:val="single" w:sz="6" w:space="0" w:color="000000"/>
              <w:right w:val="single" w:sz="4" w:space="0" w:color="000000"/>
            </w:tcBorders>
            <w:shd w:val="clear" w:color="000000" w:fill="auto"/>
            <w:tcMar>
              <w:left w:w="108" w:type="dxa"/>
              <w:right w:w="108" w:type="dxa"/>
            </w:tcMar>
          </w:tcPr>
          <w:p w:rsidR="00DA60A3" w:rsidRDefault="008F3A0B">
            <w:pPr>
              <w:spacing w:after="0" w:line="240" w:lineRule="auto"/>
            </w:pP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3422</w:t>
            </w:r>
          </w:p>
        </w:tc>
      </w:tr>
      <w:tr w:rsidR="00DA60A3">
        <w:trPr>
          <w:trHeight w:val="1"/>
        </w:trPr>
        <w:tc>
          <w:tcPr>
            <w:tcW w:w="3825" w:type="dxa"/>
            <w:tcBorders>
              <w:top w:val="single" w:sz="6" w:space="0" w:color="000000"/>
              <w:left w:val="single" w:sz="4" w:space="0" w:color="000000"/>
              <w:bottom w:val="single" w:sz="6" w:space="0" w:color="000000"/>
              <w:right w:val="single" w:sz="6" w:space="0" w:color="000000"/>
            </w:tcBorders>
            <w:shd w:val="clear" w:color="000000" w:fill="auto"/>
            <w:tcMar>
              <w:left w:w="108" w:type="dxa"/>
              <w:right w:w="108" w:type="dxa"/>
            </w:tcMar>
          </w:tcPr>
          <w:p w:rsidR="00DA60A3" w:rsidRDefault="008F3A0B">
            <w:pPr>
              <w:spacing w:after="0" w:line="240" w:lineRule="auto"/>
            </w:pPr>
            <w:r>
              <w:rPr>
                <w:rFonts w:ascii="Times New Roman" w:eastAsia="Times New Roman" w:hAnsi="Times New Roman" w:cs="Times New Roman"/>
                <w:color w:val="000000"/>
                <w:sz w:val="28"/>
              </w:rPr>
              <w:t>ПІБ аудитора, серія, номер, дата видачі Сертифіката аудитора, виданого АПУ</w:t>
            </w:r>
          </w:p>
        </w:tc>
        <w:tc>
          <w:tcPr>
            <w:tcW w:w="5369" w:type="dxa"/>
            <w:tcBorders>
              <w:top w:val="single" w:sz="6" w:space="0" w:color="000000"/>
              <w:left w:val="single" w:sz="6" w:space="0" w:color="000000"/>
              <w:bottom w:val="single" w:sz="6" w:space="0" w:color="000000"/>
              <w:right w:val="single" w:sz="4" w:space="0" w:color="000000"/>
            </w:tcBorders>
            <w:shd w:val="clear" w:color="000000" w:fill="auto"/>
            <w:tcMar>
              <w:left w:w="108" w:type="dxa"/>
              <w:right w:w="108" w:type="dxa"/>
            </w:tcMar>
          </w:tcPr>
          <w:p w:rsidR="00DA60A3" w:rsidRDefault="008F3A0B">
            <w:pPr>
              <w:spacing w:after="0" w:line="240" w:lineRule="auto"/>
            </w:pPr>
            <w:r>
              <w:rPr>
                <w:rFonts w:ascii="Times New Roman" w:eastAsia="Times New Roman" w:hAnsi="Times New Roman" w:cs="Times New Roman"/>
                <w:color w:val="000000"/>
                <w:sz w:val="28"/>
              </w:rPr>
              <w:t xml:space="preserve">Пловецька Олена Костянтинівна, сертифікат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003644 серії “А”, виданий рішенням Аудиторської палати України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25 від 14 лютого 1995 року</w:t>
            </w:r>
          </w:p>
        </w:tc>
      </w:tr>
      <w:tr w:rsidR="00DA60A3">
        <w:trPr>
          <w:trHeight w:val="1"/>
        </w:trPr>
        <w:tc>
          <w:tcPr>
            <w:tcW w:w="3825" w:type="dxa"/>
            <w:tcBorders>
              <w:top w:val="single" w:sz="6" w:space="0" w:color="000000"/>
              <w:left w:val="single" w:sz="4" w:space="0" w:color="000000"/>
              <w:bottom w:val="single" w:sz="6" w:space="0" w:color="000000"/>
              <w:right w:val="single" w:sz="6" w:space="0" w:color="000000"/>
            </w:tcBorders>
            <w:shd w:val="clear" w:color="000000" w:fill="auto"/>
            <w:tcMar>
              <w:left w:w="108" w:type="dxa"/>
              <w:right w:w="108" w:type="dxa"/>
            </w:tcMar>
          </w:tcPr>
          <w:p w:rsidR="00DA60A3" w:rsidRDefault="008F3A0B">
            <w:pPr>
              <w:spacing w:after="0" w:line="240" w:lineRule="auto"/>
            </w:pPr>
            <w:r>
              <w:rPr>
                <w:rFonts w:ascii="Times New Roman" w:eastAsia="Times New Roman" w:hAnsi="Times New Roman" w:cs="Times New Roman"/>
                <w:color w:val="000000"/>
                <w:sz w:val="28"/>
              </w:rPr>
              <w:t xml:space="preserve">Місцезнаходження </w:t>
            </w:r>
          </w:p>
        </w:tc>
        <w:tc>
          <w:tcPr>
            <w:tcW w:w="5369" w:type="dxa"/>
            <w:tcBorders>
              <w:top w:val="single" w:sz="6" w:space="0" w:color="000000"/>
              <w:left w:val="single" w:sz="6" w:space="0" w:color="000000"/>
              <w:bottom w:val="single" w:sz="6" w:space="0" w:color="000000"/>
              <w:right w:val="single" w:sz="4" w:space="0" w:color="000000"/>
            </w:tcBorders>
            <w:shd w:val="clear" w:color="000000" w:fill="auto"/>
            <w:tcMar>
              <w:left w:w="108" w:type="dxa"/>
              <w:right w:w="108" w:type="dxa"/>
            </w:tcMar>
          </w:tcPr>
          <w:p w:rsidR="00DA60A3" w:rsidRDefault="008F3A0B">
            <w:pPr>
              <w:spacing w:after="0" w:line="240" w:lineRule="auto"/>
            </w:pPr>
            <w:r>
              <w:rPr>
                <w:rFonts w:ascii="Times New Roman" w:eastAsia="Times New Roman" w:hAnsi="Times New Roman" w:cs="Times New Roman"/>
                <w:color w:val="000000"/>
                <w:sz w:val="28"/>
              </w:rPr>
              <w:t>36022, м. Полтава, вул. Небесної сотні, 91</w:t>
            </w:r>
          </w:p>
        </w:tc>
      </w:tr>
      <w:tr w:rsidR="00DA60A3">
        <w:trPr>
          <w:trHeight w:val="1"/>
        </w:trPr>
        <w:tc>
          <w:tcPr>
            <w:tcW w:w="3825" w:type="dxa"/>
            <w:tcBorders>
              <w:top w:val="single" w:sz="6" w:space="0" w:color="000000"/>
              <w:left w:val="single" w:sz="4" w:space="0" w:color="000000"/>
              <w:bottom w:val="single" w:sz="6" w:space="0" w:color="000000"/>
              <w:right w:val="single" w:sz="6" w:space="0" w:color="000000"/>
            </w:tcBorders>
            <w:shd w:val="clear" w:color="000000" w:fill="auto"/>
            <w:tcMar>
              <w:left w:w="108" w:type="dxa"/>
              <w:right w:w="108" w:type="dxa"/>
            </w:tcMar>
          </w:tcPr>
          <w:p w:rsidR="00DA60A3" w:rsidRDefault="008F3A0B">
            <w:pPr>
              <w:spacing w:after="0" w:line="240" w:lineRule="auto"/>
            </w:pPr>
            <w:r>
              <w:rPr>
                <w:rFonts w:ascii="Times New Roman" w:eastAsia="Times New Roman" w:hAnsi="Times New Roman" w:cs="Times New Roman"/>
                <w:color w:val="000000"/>
                <w:sz w:val="28"/>
              </w:rPr>
              <w:t>Свідоцтво про відповідність системи контролю якості аудиторських послуг</w:t>
            </w:r>
          </w:p>
        </w:tc>
        <w:tc>
          <w:tcPr>
            <w:tcW w:w="5369" w:type="dxa"/>
            <w:tcBorders>
              <w:top w:val="single" w:sz="6" w:space="0" w:color="000000"/>
              <w:left w:val="single" w:sz="6" w:space="0" w:color="000000"/>
              <w:bottom w:val="single" w:sz="6" w:space="0" w:color="000000"/>
              <w:right w:val="single" w:sz="4" w:space="0" w:color="000000"/>
            </w:tcBorders>
            <w:shd w:val="clear" w:color="000000" w:fill="auto"/>
            <w:tcMar>
              <w:left w:w="108" w:type="dxa"/>
              <w:right w:w="108" w:type="dxa"/>
            </w:tcMar>
          </w:tcPr>
          <w:p w:rsidR="00DA60A3" w:rsidRDefault="008F3A0B">
            <w:pPr>
              <w:spacing w:after="0" w:line="240" w:lineRule="auto"/>
            </w:pPr>
            <w:r>
              <w:rPr>
                <w:rFonts w:ascii="Times New Roman" w:eastAsia="Times New Roman" w:hAnsi="Times New Roman" w:cs="Times New Roman"/>
                <w:color w:val="000000"/>
                <w:sz w:val="28"/>
              </w:rPr>
              <w:t xml:space="preserve">Рішення  АПУ від 28.07.2016 р.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327/4</w:t>
            </w:r>
          </w:p>
        </w:tc>
      </w:tr>
    </w:tbl>
    <w:p w:rsidR="00DA60A3" w:rsidRDefault="008F3A0B">
      <w:pPr>
        <w:spacing w:after="0" w:line="288" w:lineRule="auto"/>
        <w:ind w:left="1136" w:right="824" w:firstLine="852"/>
        <w:jc w:val="both"/>
        <w:rPr>
          <w:rFonts w:ascii="Times New Roman" w:eastAsia="Times New Roman" w:hAnsi="Times New Roman" w:cs="Times New Roman"/>
          <w:color w:val="000000"/>
          <w:sz w:val="28"/>
        </w:rPr>
      </w:pPr>
      <w:r>
        <w:rPr>
          <w:rFonts w:ascii="Times New Roman" w:eastAsia="Times New Roman" w:hAnsi="Times New Roman" w:cs="Times New Roman"/>
          <w:color w:val="FF0000"/>
          <w:sz w:val="28"/>
        </w:rPr>
        <w:t xml:space="preserve"> </w:t>
      </w:r>
    </w:p>
    <w:p w:rsidR="00DA60A3" w:rsidRDefault="008F3A0B">
      <w:pPr>
        <w:spacing w:after="0"/>
        <w:ind w:left="1136" w:right="490" w:firstLine="568"/>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DA60A3" w:rsidRDefault="008F3A0B">
      <w:pPr>
        <w:spacing w:after="0"/>
        <w:ind w:left="1136" w:right="490" w:firstLine="568"/>
        <w:jc w:val="both"/>
        <w:rPr>
          <w:rFonts w:ascii="Times New Roman" w:eastAsia="Times New Roman" w:hAnsi="Times New Roman" w:cs="Times New Roman"/>
          <w:sz w:val="24"/>
        </w:rPr>
      </w:pPr>
      <w:r>
        <w:rPr>
          <w:rFonts w:ascii="Times New Roman" w:eastAsia="Times New Roman" w:hAnsi="Times New Roman" w:cs="Times New Roman"/>
          <w:sz w:val="24"/>
        </w:rPr>
        <w:t>Час проведення аудиту з 15  березня 2019 року по 15  квітня 2019 року.</w:t>
      </w:r>
    </w:p>
    <w:p w:rsidR="00DA60A3" w:rsidRDefault="008F3A0B">
      <w:pPr>
        <w:spacing w:after="0"/>
        <w:ind w:left="1136" w:right="490" w:firstLine="5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Директор ТОВ “Січень-Аудит”</w:t>
      </w:r>
      <w:r w:rsidR="003965C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 К. Пловецька</w:t>
      </w:r>
    </w:p>
    <w:p w:rsidR="00DA60A3" w:rsidRDefault="00DA60A3">
      <w:pPr>
        <w:spacing w:after="0"/>
        <w:ind w:left="1136" w:right="490" w:firstLine="568"/>
        <w:jc w:val="both"/>
        <w:rPr>
          <w:rFonts w:ascii="Times New Roman" w:eastAsia="Times New Roman" w:hAnsi="Times New Roman" w:cs="Times New Roman"/>
          <w:color w:val="000000"/>
          <w:sz w:val="24"/>
        </w:rPr>
      </w:pPr>
    </w:p>
    <w:p w:rsidR="00DA60A3" w:rsidRDefault="008F3A0B">
      <w:pPr>
        <w:spacing w:after="0"/>
        <w:ind w:left="1136" w:right="490" w:firstLine="5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Дата висновку </w:t>
      </w:r>
      <w:r>
        <w:rPr>
          <w:rFonts w:ascii="Times New Roman" w:eastAsia="Times New Roman" w:hAnsi="Times New Roman" w:cs="Times New Roman"/>
          <w:sz w:val="24"/>
        </w:rPr>
        <w:t>15</w:t>
      </w:r>
      <w:r>
        <w:rPr>
          <w:rFonts w:ascii="Times New Roman" w:eastAsia="Times New Roman" w:hAnsi="Times New Roman" w:cs="Times New Roman"/>
          <w:color w:val="000000"/>
          <w:sz w:val="24"/>
        </w:rPr>
        <w:t xml:space="preserve"> квітня 2019 року</w:t>
      </w:r>
    </w:p>
    <w:sectPr w:rsidR="00DA60A3" w:rsidSect="008F3A0B">
      <w:pgSz w:w="11906" w:h="16838"/>
      <w:pgMar w:top="568" w:right="14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A60A3"/>
    <w:rsid w:val="003965C8"/>
    <w:rsid w:val="00415F75"/>
    <w:rsid w:val="008F3A0B"/>
    <w:rsid w:val="00DA6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1800</Words>
  <Characters>10262</Characters>
  <Application>Microsoft Office Word</Application>
  <DocSecurity>0</DocSecurity>
  <Lines>85</Lines>
  <Paragraphs>24</Paragraphs>
  <ScaleCrop>false</ScaleCrop>
  <Company/>
  <LinksUpToDate>false</LinksUpToDate>
  <CharactersWithSpaces>12038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wolf</dc:creator>
  <cp:lastModifiedBy>Sea</cp:lastModifiedBy>
  <cp:revision>3</cp:revision>
  <cp:lastPrinted>2019-04-22T07:11:00Z</cp:lastPrinted>
  <dcterms:created xsi:type="dcterms:W3CDTF">2019-04-22T07:13:00Z</dcterms:created>
  <dcterms:modified xsi:type="dcterms:W3CDTF">2019-11-08T14:40:00Z</dcterms:modified>
</cp:coreProperties>
</file>